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F4" w:rsidRPr="00275EF4" w:rsidRDefault="00275EF4" w:rsidP="00275EF4">
      <w:pPr>
        <w:shd w:val="clear" w:color="auto" w:fill="F9FAFB"/>
        <w:spacing w:before="124" w:after="124" w:line="240" w:lineRule="atLeast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  <w:sz w:val="50"/>
          <w:szCs w:val="50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214559"/>
          <w:kern w:val="36"/>
          <w:sz w:val="50"/>
          <w:szCs w:val="50"/>
          <w:lang w:eastAsia="ru-RU"/>
        </w:rPr>
        <w:t xml:space="preserve">Осторожно </w:t>
      </w:r>
      <w:proofErr w:type="gramStart"/>
      <w:r w:rsidRPr="00275EF4">
        <w:rPr>
          <w:rFonts w:ascii="Arial" w:eastAsia="Times New Roman" w:hAnsi="Arial" w:cs="Arial"/>
          <w:b/>
          <w:bCs/>
          <w:color w:val="214559"/>
          <w:kern w:val="36"/>
          <w:sz w:val="50"/>
          <w:szCs w:val="50"/>
          <w:lang w:eastAsia="ru-RU"/>
        </w:rPr>
        <w:t>-т</w:t>
      </w:r>
      <w:proofErr w:type="gramEnd"/>
      <w:r w:rsidRPr="00275EF4">
        <w:rPr>
          <w:rFonts w:ascii="Arial" w:eastAsia="Times New Roman" w:hAnsi="Arial" w:cs="Arial"/>
          <w:b/>
          <w:bCs/>
          <w:color w:val="214559"/>
          <w:kern w:val="36"/>
          <w:sz w:val="50"/>
          <w:szCs w:val="50"/>
          <w:lang w:eastAsia="ru-RU"/>
        </w:rPr>
        <w:t>уберкулёз!</w:t>
      </w:r>
    </w:p>
    <w:p w:rsidR="00275EF4" w:rsidRPr="00275EF4" w:rsidRDefault="00275EF4" w:rsidP="00275EF4">
      <w:pPr>
        <w:shd w:val="clear" w:color="auto" w:fill="F9FAFB"/>
        <w:spacing w:after="0" w:line="240" w:lineRule="auto"/>
        <w:jc w:val="center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F617F"/>
          <w:sz w:val="32"/>
          <w:szCs w:val="32"/>
          <w:lang w:eastAsia="ru-RU"/>
        </w:rPr>
        <w:drawing>
          <wp:inline distT="0" distB="0" distL="0" distR="0">
            <wp:extent cx="1434465" cy="1071880"/>
            <wp:effectExtent l="19050" t="0" r="0" b="0"/>
            <wp:docPr id="1" name="Рисунок 1" descr="img3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F4" w:rsidRPr="00275EF4" w:rsidRDefault="00275EF4" w:rsidP="00EF1506">
      <w:pPr>
        <w:shd w:val="clear" w:color="auto" w:fill="F9FAFB"/>
        <w:spacing w:before="298" w:after="298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По решению Всемирной организации здравоохранения 24 марта отмечается Всемирный день борьбы с туберкулезом</w:t>
      </w:r>
    </w:p>
    <w:p w:rsidR="00275EF4" w:rsidRPr="00275EF4" w:rsidRDefault="00275EF4" w:rsidP="00EF1506">
      <w:pPr>
        <w:shd w:val="clear" w:color="auto" w:fill="F9FAFB"/>
        <w:spacing w:before="298" w:after="298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Всемирный день борьбы с туберкулезом отмечается по решению Всемирной организации здравоохранения (ВОЗ) 24 марта,  в день, когда в 1882 году немецкий микробиолог Роберт Кох объявил о сделанном им открытии возбудителя туберкулеза.</w:t>
      </w:r>
    </w:p>
    <w:p w:rsidR="00275EF4" w:rsidRPr="00275EF4" w:rsidRDefault="00275EF4" w:rsidP="00EF1506">
      <w:pPr>
        <w:shd w:val="clear" w:color="auto" w:fill="F9FAFB"/>
        <w:spacing w:before="298" w:after="298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Всемирный День борьбы с туберкулезом в 2012 году по предложению ВОЗ проводится под девизом «Борьба с туберкулезом продолжается. Используйте новые пути для ликвидации туберкулеза». В настоящее время ежегодно туберкулез уносит жизни 1,6 миллионов человек, большинство из которых — жители развивающихся стран.</w:t>
      </w:r>
    </w:p>
    <w:p w:rsidR="00275EF4" w:rsidRPr="00275EF4" w:rsidRDefault="00275EF4" w:rsidP="00EF1506">
      <w:pPr>
        <w:shd w:val="clear" w:color="auto" w:fill="F9FAFB"/>
        <w:spacing w:before="298" w:after="298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В связи с проведением Дня по борьбе с туберкулёзом организованы различные тематические информационно-просветительские мероприятия.</w:t>
      </w:r>
    </w:p>
    <w:tbl>
      <w:tblPr>
        <w:tblW w:w="0" w:type="auto"/>
        <w:tblInd w:w="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2389"/>
        <w:gridCol w:w="2389"/>
      </w:tblGrid>
      <w:tr w:rsidR="00275EF4" w:rsidRPr="00275EF4" w:rsidTr="00275EF4">
        <w:tc>
          <w:tcPr>
            <w:tcW w:w="0" w:type="auto"/>
            <w:tcBorders>
              <w:top w:val="single" w:sz="12" w:space="0" w:color="8099B3"/>
              <w:left w:val="single" w:sz="12" w:space="0" w:color="8099B3"/>
              <w:bottom w:val="single" w:sz="12" w:space="0" w:color="8099B3"/>
              <w:right w:val="single" w:sz="12" w:space="0" w:color="8099B3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5EF4" w:rsidRPr="00275EF4" w:rsidRDefault="00275EF4" w:rsidP="00275E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F617F"/>
                <w:sz w:val="32"/>
                <w:szCs w:val="32"/>
                <w:lang w:eastAsia="ru-RU"/>
              </w:rPr>
              <w:drawing>
                <wp:inline distT="0" distB="0" distL="0" distR="0">
                  <wp:extent cx="1434465" cy="1576705"/>
                  <wp:effectExtent l="19050" t="0" r="0" b="0"/>
                  <wp:docPr id="2" name="Рисунок 2" descr="877897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77897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8099B3"/>
              <w:left w:val="single" w:sz="12" w:space="0" w:color="8099B3"/>
              <w:bottom w:val="single" w:sz="12" w:space="0" w:color="8099B3"/>
              <w:right w:val="single" w:sz="12" w:space="0" w:color="8099B3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5EF4" w:rsidRPr="00275EF4" w:rsidRDefault="00275EF4" w:rsidP="00275E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F617F"/>
                <w:sz w:val="32"/>
                <w:szCs w:val="32"/>
                <w:lang w:eastAsia="ru-RU"/>
              </w:rPr>
              <w:drawing>
                <wp:inline distT="0" distB="0" distL="0" distR="0">
                  <wp:extent cx="1434465" cy="1009015"/>
                  <wp:effectExtent l="19050" t="0" r="0" b="0"/>
                  <wp:docPr id="3" name="Рисунок 3" descr="89080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9080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8099B3"/>
              <w:left w:val="single" w:sz="12" w:space="0" w:color="8099B3"/>
              <w:bottom w:val="single" w:sz="12" w:space="0" w:color="8099B3"/>
              <w:right w:val="single" w:sz="12" w:space="0" w:color="8099B3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5EF4" w:rsidRPr="00275EF4" w:rsidRDefault="00275EF4" w:rsidP="00275EF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F617F"/>
                <w:sz w:val="32"/>
                <w:szCs w:val="32"/>
                <w:lang w:eastAsia="ru-RU"/>
              </w:rPr>
              <w:drawing>
                <wp:inline distT="0" distB="0" distL="0" distR="0">
                  <wp:extent cx="1434465" cy="2018030"/>
                  <wp:effectExtent l="19050" t="0" r="0" b="0"/>
                  <wp:docPr id="4" name="Рисунок 4" descr="45678657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5678657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201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P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lastRenderedPageBreak/>
        <w:t>ПАМЯТКА</w:t>
      </w:r>
    </w:p>
    <w:p w:rsidR="00275EF4" w:rsidRP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i/>
          <w:iCs/>
          <w:color w:val="0F1419"/>
          <w:sz w:val="32"/>
          <w:u w:val="single"/>
          <w:lang w:eastAsia="ru-RU"/>
        </w:rPr>
        <w:t>ОСТОРОЖНО, ТУБЕРКУЛЁЗ!</w:t>
      </w:r>
    </w:p>
    <w:p w:rsidR="00275EF4" w:rsidRPr="00275EF4" w:rsidRDefault="00275EF4" w:rsidP="00EF1506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        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Туберкулез, как и всякая инфекция, заразен. Входными воротами инфекции в большинстве случаев являются дыхательные пути человека. Микробактерии попадают в них с частицами мокроты или капельками слизи при кашле, чихании, разговоре. Микробактерия туберкулеза (палочка Коха) чрезвычайно устойчива к внешней среде. В жидкой среде она сохраняется до полугода, в высохшем состоянии — на белье, предметах обихода — возбудитель может оставаться опасным в течение нескольких месяцев. Туберкулезная палочка, попав в организм человека, может длительное время оставаться в блокированном состоянии, благодаря защитной иммунной системе. Но если организм ослаблен, и для бактерий созданы «благоприятные» условия — плохое питание, сырое жилище, стрессы, алкоголизм и курение, то палочка Коха вызывает заболевание.</w:t>
      </w:r>
    </w:p>
    <w:p w:rsidR="00275EF4" w:rsidRPr="00275EF4" w:rsidRDefault="00275EF4" w:rsidP="00EF1506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       Коварство туберкулеза заключается в том, что в начальных стадиях большинство больных отмечают незначительные жалобы: потливость, сухой кашель, беспричинное повышение температуры до 37,5 °С. Спустя несколько месяцев, состояние резко ухудшается — присоединяется кашель с большим количеством мокроты, одышка, повышение температуры, снижение массы тела. На этом этапе большинство больных туберкулезом становятся опасными для окружающих людей, так как в огромном количестве выделяют болезнетворные микробы. Медицинская статистика свидетельствует о том, что в среднем каждый больной туберкулезом до момента госпитализации способен заразить 7-8 человек.</w:t>
      </w:r>
    </w:p>
    <w:p w:rsidR="00275EF4" w:rsidRPr="00275EF4" w:rsidRDefault="00275EF4" w:rsidP="00EF1506">
      <w:pPr>
        <w:shd w:val="clear" w:color="auto" w:fill="F9FAFB"/>
        <w:spacing w:after="298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       Поэтому важно выявить заболевание туберкулезом на ранних этапах, чтобы своевременно изолировать больного от окружающих и начать лечение. Одним из наиболее информативных методов раннего выявления больных является ежегодная флюорография.</w:t>
      </w:r>
    </w:p>
    <w:p w:rsidR="00275EF4" w:rsidRPr="00275EF4" w:rsidRDefault="00275EF4" w:rsidP="00EF1506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lastRenderedPageBreak/>
        <w:t xml:space="preserve">      Уберечь ребенка от острых </w:t>
      </w:r>
      <w:proofErr w:type="spellStart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генерализованных</w:t>
      </w:r>
      <w:proofErr w:type="spellEnd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форм туберкулеза позволяет </w:t>
      </w:r>
      <w:proofErr w:type="spellStart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вакцинопрофилактика</w:t>
      </w:r>
      <w:proofErr w:type="spellEnd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. Существует только одна вакцина — БЦЖ, впервые была применена в 1921 г. Эту прививку делают только неинфицированным людям. Ежегодно, осенью всем детям проводится туберкулиновая диагностика — с помощью туберкулиновой кожной пробы (Реакция Манту) можно определить, имеются ли в организме туберкулезные бациллы.</w:t>
      </w:r>
    </w:p>
    <w:p w:rsidR="00275EF4" w:rsidRPr="00275EF4" w:rsidRDefault="00275EF4" w:rsidP="00EF1506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       Большую роль в профилактике туберкулеза </w:t>
      </w:r>
      <w:proofErr w:type="gramStart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играет</w:t>
      </w:r>
      <w:proofErr w:type="gramEnd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и соблюдение каждым больным правил личной и общественной гигиены. Проявляя аккуратность в быту, на улице, он этим сберегает здоровье своих близких и окружающих.</w:t>
      </w:r>
    </w:p>
    <w:p w:rsidR="00275EF4" w:rsidRPr="00275EF4" w:rsidRDefault="00275EF4" w:rsidP="00EF1506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        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EF1506" w:rsidRDefault="00EF1506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b/>
          <w:bCs/>
          <w:color w:val="0F1419"/>
          <w:sz w:val="32"/>
          <w:lang w:eastAsia="ru-RU"/>
        </w:rPr>
      </w:pPr>
    </w:p>
    <w:p w:rsidR="00275EF4" w:rsidRPr="00275EF4" w:rsidRDefault="00275EF4" w:rsidP="00275EF4">
      <w:pPr>
        <w:shd w:val="clear" w:color="auto" w:fill="F9FAFB"/>
        <w:spacing w:before="298" w:after="298" w:line="240" w:lineRule="auto"/>
        <w:jc w:val="center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lastRenderedPageBreak/>
        <w:t>Памятка для родителей по профилактике туберкулеза</w:t>
      </w:r>
    </w:p>
    <w:p w:rsidR="00275EF4" w:rsidRPr="00275EF4" w:rsidRDefault="00275EF4" w:rsidP="00EF1506">
      <w:pPr>
        <w:shd w:val="clear" w:color="auto" w:fill="F9FAFB"/>
        <w:spacing w:before="298" w:after="298" w:line="240" w:lineRule="auto"/>
        <w:ind w:firstLine="851"/>
        <w:jc w:val="center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ТУБЕРКУЛЕЗ У ДЕТЕЙ И ПОДРОСТКОВ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Туберкулез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 — хроническое инфекционное заболевание, вызываемое микобактериями туберкулеза человеческого или, реже, бычьего вида (последние передаются через молоко и молочные продукты), поражающими в большей мере органы дыхания, а также все органы и системы организма.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Источником инфекции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 являются больные туберкулезом люди. Наиболее распространенным является воздушный путь заражения. Факторами передачи служат носоглоточная слизь, мокрота и пыль, содержащие бактерии.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 Температура тела повышается до 37.2 — 37.3</w:t>
      </w:r>
      <w:r w:rsidRPr="00275EF4">
        <w:rPr>
          <w:rFonts w:ascii="Arial" w:eastAsia="Times New Roman" w:hAnsi="Arial" w:cs="Arial"/>
          <w:color w:val="0F1419"/>
          <w:sz w:val="32"/>
          <w:szCs w:val="32"/>
          <w:vertAlign w:val="superscript"/>
          <w:lang w:eastAsia="ru-RU"/>
        </w:rPr>
        <w:t>о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Для диагностики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 туберкулезной интоксикации </w:t>
      </w:r>
      <w:proofErr w:type="gramStart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важное значение</w:t>
      </w:r>
      <w:proofErr w:type="gramEnd"/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имеет определение инфицированности с помощью </w:t>
      </w: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туберкулиновых проб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, а для детей с 12 лет — ещё и с помощью </w:t>
      </w: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флюорографии.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851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Для профилактики туберкулеза очень важно</w:t>
      </w: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: вести здоровый образ жизни, строго соблюдать санитарно — гигиенические правила:</w:t>
      </w:r>
    </w:p>
    <w:p w:rsidR="00275EF4" w:rsidRPr="00275EF4" w:rsidRDefault="00275EF4" w:rsidP="002D21BF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— мыть руки перед едой,</w:t>
      </w:r>
    </w:p>
    <w:p w:rsidR="00275EF4" w:rsidRPr="00275EF4" w:rsidRDefault="00275EF4" w:rsidP="002D21BF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— не употреблять в пищу немытые овощи и фрукты, а также молочные продукты, не прошедшие санитарный контроль,</w:t>
      </w:r>
    </w:p>
    <w:p w:rsidR="00275EF4" w:rsidRPr="00275EF4" w:rsidRDefault="00275EF4" w:rsidP="002D21BF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— полноценно питаться,</w:t>
      </w:r>
    </w:p>
    <w:p w:rsidR="00275EF4" w:rsidRPr="00275EF4" w:rsidRDefault="00275EF4" w:rsidP="002D21BF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— заниматься спортом,</w:t>
      </w:r>
    </w:p>
    <w:p w:rsidR="00275EF4" w:rsidRPr="00275EF4" w:rsidRDefault="00275EF4" w:rsidP="002D21BF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color w:val="0F1419"/>
          <w:sz w:val="32"/>
          <w:szCs w:val="32"/>
          <w:lang w:eastAsia="ru-RU"/>
        </w:rPr>
        <w:lastRenderedPageBreak/>
        <w:t>— обращать внимание на изменения в состоянии здоровья.</w:t>
      </w:r>
    </w:p>
    <w:p w:rsidR="00275EF4" w:rsidRPr="00275EF4" w:rsidRDefault="00275EF4" w:rsidP="002D21BF">
      <w:pPr>
        <w:shd w:val="clear" w:color="auto" w:fill="F9FAFB"/>
        <w:spacing w:after="0" w:line="240" w:lineRule="auto"/>
        <w:ind w:firstLine="993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275EF4">
        <w:rPr>
          <w:rFonts w:ascii="Arial" w:eastAsia="Times New Roman" w:hAnsi="Arial" w:cs="Arial"/>
          <w:b/>
          <w:bCs/>
          <w:color w:val="0F1419"/>
          <w:sz w:val="32"/>
          <w:lang w:eastAsia="ru-RU"/>
        </w:rPr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</w:p>
    <w:p w:rsidR="00017588" w:rsidRDefault="00017588"/>
    <w:sectPr w:rsidR="00017588" w:rsidSect="0001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75EF4"/>
    <w:rsid w:val="00017588"/>
    <w:rsid w:val="00151DD6"/>
    <w:rsid w:val="00275EF4"/>
    <w:rsid w:val="002D21BF"/>
    <w:rsid w:val="00EF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88"/>
  </w:style>
  <w:style w:type="paragraph" w:styleId="1">
    <w:name w:val="heading 1"/>
    <w:basedOn w:val="a"/>
    <w:link w:val="10"/>
    <w:uiPriority w:val="9"/>
    <w:qFormat/>
    <w:rsid w:val="0027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75EF4"/>
  </w:style>
  <w:style w:type="character" w:customStyle="1" w:styleId="apple-converted-space">
    <w:name w:val="apple-converted-space"/>
    <w:basedOn w:val="a0"/>
    <w:rsid w:val="00275EF4"/>
  </w:style>
  <w:style w:type="character" w:customStyle="1" w:styleId="entry-date">
    <w:name w:val="entry-date"/>
    <w:basedOn w:val="a0"/>
    <w:rsid w:val="00275EF4"/>
  </w:style>
  <w:style w:type="character" w:customStyle="1" w:styleId="author">
    <w:name w:val="author"/>
    <w:basedOn w:val="a0"/>
    <w:rsid w:val="00275EF4"/>
  </w:style>
  <w:style w:type="character" w:styleId="a3">
    <w:name w:val="Hyperlink"/>
    <w:basedOn w:val="a0"/>
    <w:uiPriority w:val="99"/>
    <w:semiHidden/>
    <w:unhideWhenUsed/>
    <w:rsid w:val="00275E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EF4"/>
    <w:rPr>
      <w:b/>
      <w:bCs/>
    </w:rPr>
  </w:style>
  <w:style w:type="character" w:styleId="a6">
    <w:name w:val="Emphasis"/>
    <w:basedOn w:val="a0"/>
    <w:uiPriority w:val="20"/>
    <w:qFormat/>
    <w:rsid w:val="00275E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nekras.kormil.obr55.ru/files/2015/03/89080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unekras.kormil.obr55.ru/files/2015/03/877897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ounekras.kormil.obr55.ru/files/2015/03/456786578.jpg" TargetMode="External"/><Relationship Id="rId4" Type="http://schemas.openxmlformats.org/officeDocument/2006/relationships/hyperlink" Target="http://ounekras.kormil.obr55.ru/files/2015/03/img3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2017-03-21T17:56:00Z</dcterms:created>
  <dcterms:modified xsi:type="dcterms:W3CDTF">2017-03-21T18:08:00Z</dcterms:modified>
</cp:coreProperties>
</file>